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F5CBB5" w14:textId="77777777" w:rsidR="00350271" w:rsidRDefault="00350271" w:rsidP="00350271"/>
    <w:p w14:paraId="38432FBF" w14:textId="77777777" w:rsidR="007B08B2" w:rsidRDefault="007B08B2" w:rsidP="00350271">
      <w:pPr>
        <w:jc w:val="center"/>
        <w:rPr>
          <w:b/>
        </w:rPr>
      </w:pPr>
    </w:p>
    <w:p w14:paraId="79D70FFF" w14:textId="77777777" w:rsidR="007B08B2" w:rsidRDefault="007B08B2" w:rsidP="00350271">
      <w:pPr>
        <w:jc w:val="center"/>
        <w:rPr>
          <w:b/>
        </w:rPr>
      </w:pPr>
    </w:p>
    <w:p w14:paraId="0194BA9F" w14:textId="4A8D9FF3" w:rsidR="00350271" w:rsidRPr="007B08B2" w:rsidRDefault="00350271" w:rsidP="00350271">
      <w:pPr>
        <w:jc w:val="center"/>
        <w:rPr>
          <w:b/>
          <w:sz w:val="28"/>
          <w:szCs w:val="28"/>
        </w:rPr>
      </w:pPr>
      <w:r w:rsidRPr="007B08B2">
        <w:rPr>
          <w:b/>
          <w:sz w:val="28"/>
          <w:szCs w:val="28"/>
        </w:rPr>
        <w:t>AGENDA</w:t>
      </w:r>
    </w:p>
    <w:p w14:paraId="363DFFED" w14:textId="77777777" w:rsidR="007B08B2" w:rsidRPr="00DC2429" w:rsidRDefault="007B08B2" w:rsidP="00350271">
      <w:pPr>
        <w:jc w:val="center"/>
        <w:rPr>
          <w:b/>
        </w:rPr>
      </w:pPr>
    </w:p>
    <w:p w14:paraId="41C80D66" w14:textId="48264DB4" w:rsidR="00350271" w:rsidRDefault="00350271" w:rsidP="00350271">
      <w:pPr>
        <w:jc w:val="center"/>
      </w:pPr>
      <w:r>
        <w:t>SME Health and Safety Division Executive Meeting</w:t>
      </w:r>
      <w:r>
        <w:tab/>
      </w:r>
    </w:p>
    <w:p w14:paraId="338DCB7B" w14:textId="31826B8B" w:rsidR="004D39B3" w:rsidRDefault="004D39B3" w:rsidP="00AB777B">
      <w:pPr>
        <w:jc w:val="center"/>
      </w:pPr>
      <w:r>
        <w:t>20</w:t>
      </w:r>
      <w:r w:rsidR="00AB777B">
        <w:t>23 Annual</w:t>
      </w:r>
      <w:r>
        <w:t xml:space="preserve"> Meeting</w:t>
      </w:r>
    </w:p>
    <w:p w14:paraId="73648816" w14:textId="339C34E5" w:rsidR="00DF41DF" w:rsidRDefault="00171B62" w:rsidP="00AB777B">
      <w:pPr>
        <w:jc w:val="center"/>
      </w:pPr>
      <w:r>
        <w:t>Hyatt, Granite A-B</w:t>
      </w:r>
    </w:p>
    <w:p w14:paraId="7DABE416" w14:textId="3D5BB5B9" w:rsidR="00171B62" w:rsidRDefault="00171B62" w:rsidP="00A8492B">
      <w:pPr>
        <w:jc w:val="center"/>
      </w:pPr>
      <w:r>
        <w:t>Sunday, February 26, 2023</w:t>
      </w:r>
      <w:r w:rsidR="00B16CF8">
        <w:t xml:space="preserve"> </w:t>
      </w:r>
    </w:p>
    <w:p w14:paraId="02573D32" w14:textId="4834C184" w:rsidR="001404D0" w:rsidRDefault="001404D0" w:rsidP="00A8492B">
      <w:pPr>
        <w:jc w:val="center"/>
      </w:pPr>
      <w:r>
        <w:t>7:30 – 9:00 am (closed meeting)</w:t>
      </w:r>
    </w:p>
    <w:p w14:paraId="1EF493ED" w14:textId="7CBF4FF4" w:rsidR="00350271" w:rsidRDefault="004D39B3" w:rsidP="00A8492B">
      <w:pPr>
        <w:jc w:val="center"/>
      </w:pPr>
      <w:r>
        <w:t>9</w:t>
      </w:r>
      <w:r w:rsidR="001404D0">
        <w:t>:00 – 11:30 am (open meeting)</w:t>
      </w:r>
    </w:p>
    <w:p w14:paraId="7D8973F9" w14:textId="1D33059B" w:rsidR="003A12EE" w:rsidRPr="004E6C19" w:rsidRDefault="003A12EE" w:rsidP="00183E5E">
      <w:pPr>
        <w:rPr>
          <w:b/>
          <w:bCs/>
        </w:rPr>
      </w:pPr>
    </w:p>
    <w:p w14:paraId="496AD650" w14:textId="05C4DF8F" w:rsidR="003A12EE" w:rsidRDefault="003A12EE" w:rsidP="00183E5E">
      <w:pPr>
        <w:pStyle w:val="ListParagraph"/>
        <w:numPr>
          <w:ilvl w:val="0"/>
          <w:numId w:val="6"/>
        </w:numPr>
        <w:spacing w:before="100" w:beforeAutospacing="1" w:after="100" w:afterAutospacing="1"/>
      </w:pPr>
      <w:r w:rsidRPr="007F4F22">
        <w:rPr>
          <w:b/>
          <w:bCs/>
        </w:rPr>
        <w:t>Open meeting items of discussion</w:t>
      </w:r>
      <w:r w:rsidR="007F4F22" w:rsidRPr="007F4F22">
        <w:rPr>
          <w:b/>
          <w:bCs/>
        </w:rPr>
        <w:t xml:space="preserve">: Attendance: </w:t>
      </w:r>
      <w:r w:rsidR="007F4F22">
        <w:t>Emily Haas (chair); Pedram Roghanchi (program chair); Kimberly Walster (Secretary) A</w:t>
      </w:r>
      <w:r w:rsidR="007F4F22" w:rsidRPr="009654E9">
        <w:t>my Richins</w:t>
      </w:r>
      <w:r w:rsidR="007F4F22">
        <w:t xml:space="preserve"> (Communications Chair);  John Loff-Peterson (IAMSH Chair); Lee Saperstein (NORA Representative); Adam Gregor (Member at Large), Mark Savit (Member at Large), Ali Lashgari (Past Chair) </w:t>
      </w:r>
      <w:r w:rsidR="007F4F22" w:rsidRPr="009654E9">
        <w:t>Caitlin Strong</w:t>
      </w:r>
      <w:r w:rsidR="007F4F22">
        <w:t>; Sig</w:t>
      </w:r>
      <w:r w:rsidR="007F4F22" w:rsidRPr="009654E9">
        <w:t>rid-Audrey Richard</w:t>
      </w:r>
      <w:r w:rsidR="007F4F22">
        <w:t xml:space="preserve">; </w:t>
      </w:r>
      <w:r w:rsidR="007F4F22" w:rsidRPr="009654E9">
        <w:t>Craig Stewart</w:t>
      </w:r>
      <w:r w:rsidR="007F4F22">
        <w:t xml:space="preserve">, </w:t>
      </w:r>
      <w:r w:rsidR="007F4F22" w:rsidRPr="009654E9">
        <w:t>Susan Moore</w:t>
      </w:r>
      <w:r w:rsidR="007F4F22">
        <w:t xml:space="preserve">, </w:t>
      </w:r>
      <w:r w:rsidR="007F4F22" w:rsidRPr="009654E9">
        <w:t>Matt Main</w:t>
      </w:r>
      <w:r w:rsidR="007F4F22">
        <w:t>, M</w:t>
      </w:r>
      <w:r w:rsidR="007F4F22" w:rsidRPr="009654E9">
        <w:t>onique Parker</w:t>
      </w:r>
      <w:r w:rsidR="007F4F22">
        <w:t xml:space="preserve">, </w:t>
      </w:r>
      <w:r w:rsidR="007F4F22" w:rsidRPr="009654E9">
        <w:t>Jaxi Fang</w:t>
      </w:r>
      <w:r w:rsidR="007F4F22">
        <w:t xml:space="preserve">, </w:t>
      </w:r>
      <w:r w:rsidR="007F4F22" w:rsidRPr="009654E9">
        <w:t>Douglas Johns</w:t>
      </w:r>
      <w:r w:rsidR="007F4F22">
        <w:t xml:space="preserve">, </w:t>
      </w:r>
      <w:r w:rsidR="007F4F22" w:rsidRPr="009654E9">
        <w:t>Jerry Popplin</w:t>
      </w:r>
      <w:r w:rsidR="007F4F22">
        <w:t xml:space="preserve">, </w:t>
      </w:r>
      <w:r w:rsidR="007F4F22" w:rsidRPr="009654E9">
        <w:t>Tom Hethmon</w:t>
      </w:r>
      <w:r w:rsidR="007F4F22">
        <w:t xml:space="preserve">, </w:t>
      </w:r>
      <w:r w:rsidR="007F4F22" w:rsidRPr="009654E9">
        <w:t>Jurgen Brune</w:t>
      </w:r>
      <w:r w:rsidR="007F4F22">
        <w:t xml:space="preserve">, </w:t>
      </w:r>
      <w:r w:rsidR="007F4F22" w:rsidRPr="009654E9">
        <w:t>Lori Guasta</w:t>
      </w:r>
      <w:r w:rsidR="007F4F22">
        <w:t xml:space="preserve">, </w:t>
      </w:r>
      <w:r w:rsidR="007F4F22" w:rsidRPr="009654E9">
        <w:t>Lara Sims</w:t>
      </w:r>
      <w:r w:rsidR="007F4F22">
        <w:t>, S</w:t>
      </w:r>
      <w:r w:rsidR="007F4F22" w:rsidRPr="009654E9">
        <w:t>cott Stilgenbauer</w:t>
      </w:r>
      <w:r w:rsidR="007F4F22">
        <w:t>, Z</w:t>
      </w:r>
      <w:r w:rsidR="007F4F22" w:rsidRPr="009654E9">
        <w:t>oheir Khademian</w:t>
      </w:r>
      <w:r w:rsidR="007F4F22">
        <w:t xml:space="preserve">, </w:t>
      </w:r>
      <w:r w:rsidR="007F4F22" w:rsidRPr="009654E9">
        <w:t>Jim Zhou</w:t>
      </w:r>
      <w:r w:rsidR="007F4F22">
        <w:t xml:space="preserve">, </w:t>
      </w:r>
      <w:r w:rsidR="007F4F22" w:rsidRPr="009654E9">
        <w:t>Bahareh Nojabaei</w:t>
      </w:r>
      <w:r w:rsidR="007F4F22">
        <w:t>, P</w:t>
      </w:r>
      <w:r w:rsidR="007F4F22" w:rsidRPr="009654E9">
        <w:t>urushotham Tukkaraja</w:t>
      </w:r>
      <w:r w:rsidR="007F4F22">
        <w:t xml:space="preserve">, </w:t>
      </w:r>
      <w:r w:rsidR="007F4F22" w:rsidRPr="009654E9">
        <w:t xml:space="preserve">Arun Rai </w:t>
      </w:r>
    </w:p>
    <w:p w14:paraId="2606D11E" w14:textId="77777777" w:rsidR="00183E5E" w:rsidRDefault="00183E5E" w:rsidP="00183E5E">
      <w:pPr>
        <w:ind w:left="720"/>
      </w:pPr>
    </w:p>
    <w:p w14:paraId="72D4ECA2" w14:textId="09B05858" w:rsidR="007F4F22" w:rsidRDefault="007F4F22" w:rsidP="007F4F22">
      <w:pPr>
        <w:numPr>
          <w:ilvl w:val="0"/>
          <w:numId w:val="1"/>
        </w:numPr>
      </w:pPr>
      <w:r>
        <w:t xml:space="preserve">The meeting began with safety shares from a number of members. </w:t>
      </w:r>
    </w:p>
    <w:p w14:paraId="6BA4AED6" w14:textId="77777777" w:rsidR="007F4F22" w:rsidRDefault="007F4F22" w:rsidP="007F4F22">
      <w:pPr>
        <w:ind w:left="720"/>
      </w:pPr>
    </w:p>
    <w:p w14:paraId="49678953" w14:textId="3DC0A50F" w:rsidR="007F4F22" w:rsidRDefault="00951215" w:rsidP="007F4F22">
      <w:pPr>
        <w:numPr>
          <w:ilvl w:val="0"/>
          <w:numId w:val="1"/>
        </w:numPr>
      </w:pPr>
      <w:r w:rsidRPr="00CD560A">
        <w:rPr>
          <w:b/>
        </w:rPr>
        <w:t>Introduction</w:t>
      </w:r>
      <w:r w:rsidR="002B5C8A" w:rsidRPr="00CD560A">
        <w:rPr>
          <w:b/>
        </w:rPr>
        <w:t xml:space="preserve"> and State of the Division</w:t>
      </w:r>
      <w:r w:rsidRPr="00CD560A">
        <w:rPr>
          <w:b/>
        </w:rPr>
        <w:t xml:space="preserve"> (</w:t>
      </w:r>
      <w:r w:rsidR="004D39B3" w:rsidRPr="00CD560A">
        <w:rPr>
          <w:b/>
        </w:rPr>
        <w:t>Haas</w:t>
      </w:r>
      <w:r>
        <w:t>)</w:t>
      </w:r>
      <w:r w:rsidR="007F4F22">
        <w:t xml:space="preserve">: Emily Haas informed the attendees that </w:t>
      </w:r>
      <w:r w:rsidR="00CD560A">
        <w:t>o</w:t>
      </w:r>
      <w:r w:rsidR="007F4F22">
        <w:t>n Dec. 26, Paloma Lazaro (2022 HS Division Vice Chair) informed Emily Haas (2022 HS Division Chair) that because of a new position she did not fell that she would have adequate time to fulfill the duties of the Chair of the Division</w:t>
      </w:r>
      <w:r w:rsidR="00CD560A">
        <w:t xml:space="preserve"> in 2023</w:t>
      </w:r>
      <w:r w:rsidR="007F4F22">
        <w:t xml:space="preserve">. Haas thanked Lazaro for her service to the Division and extended an invite for future involvement with the Division. </w:t>
      </w:r>
      <w:r w:rsidR="0013468D">
        <w:t xml:space="preserve">On Jan. 17, a quorum of the H&amp;S Division Executive Committee approved a motion to have Haas serve a chair for one more year </w:t>
      </w:r>
      <w:r w:rsidR="00CD560A">
        <w:t xml:space="preserve">(2023) </w:t>
      </w:r>
      <w:r w:rsidR="0013468D">
        <w:t>with Pedram Roghanchi serving as vice chair. All other positions will remain on the same progression.</w:t>
      </w:r>
    </w:p>
    <w:p w14:paraId="063EBB66" w14:textId="0615079F" w:rsidR="006F3062" w:rsidRDefault="006F3062" w:rsidP="0013468D">
      <w:pPr>
        <w:ind w:left="720"/>
      </w:pPr>
    </w:p>
    <w:p w14:paraId="7C51EBFC" w14:textId="57C2F989" w:rsidR="006F3062" w:rsidRDefault="006F3062" w:rsidP="006F3062">
      <w:pPr>
        <w:pStyle w:val="ListParagraph"/>
        <w:numPr>
          <w:ilvl w:val="1"/>
          <w:numId w:val="1"/>
        </w:numPr>
      </w:pPr>
      <w:r>
        <w:t>Division financial statement</w:t>
      </w:r>
      <w:r w:rsidR="0013468D">
        <w:t xml:space="preserve"> – Haas informed the meeting that the Division is in good financial state. The Division grew by 64 members in 2022 and has a balance of $44,110.38</w:t>
      </w:r>
    </w:p>
    <w:p w14:paraId="07331182" w14:textId="76DDCA96" w:rsidR="003A12EE" w:rsidRDefault="003A12EE" w:rsidP="003A12EE">
      <w:pPr>
        <w:ind w:left="720"/>
      </w:pPr>
    </w:p>
    <w:p w14:paraId="4D3DB54B" w14:textId="2F342A58" w:rsidR="00C92F51" w:rsidRDefault="00C92F51" w:rsidP="00C92F51">
      <w:pPr>
        <w:pStyle w:val="ListParagraph"/>
        <w:numPr>
          <w:ilvl w:val="0"/>
          <w:numId w:val="1"/>
        </w:numPr>
      </w:pPr>
      <w:r w:rsidRPr="00CD560A">
        <w:rPr>
          <w:b/>
        </w:rPr>
        <w:t>Review of nominations and open call for division positions (Haas)</w:t>
      </w:r>
      <w:r w:rsidR="0013468D" w:rsidRPr="00CD560A">
        <w:rPr>
          <w:b/>
        </w:rPr>
        <w:t>:</w:t>
      </w:r>
      <w:r w:rsidR="0013468D">
        <w:t xml:space="preserve"> Much of the meeting was dedicated to assigning members to open positions. Nominations were accepted for 2023 executive positions of Communications Chair and Members at Large. The Executive Committee conducted a follow up vote</w:t>
      </w:r>
    </w:p>
    <w:p w14:paraId="318B647E" w14:textId="51AF7AD6" w:rsidR="00372938" w:rsidRDefault="00372938" w:rsidP="00372938">
      <w:pPr>
        <w:numPr>
          <w:ilvl w:val="2"/>
          <w:numId w:val="4"/>
        </w:numPr>
      </w:pPr>
      <w:r>
        <w:t>Communications chair</w:t>
      </w:r>
      <w:r w:rsidR="0013468D">
        <w:t xml:space="preserve"> – Adam Gregor</w:t>
      </w:r>
    </w:p>
    <w:p w14:paraId="607AC8AA" w14:textId="60EE16D8" w:rsidR="00372938" w:rsidRDefault="00372938" w:rsidP="00372938">
      <w:pPr>
        <w:numPr>
          <w:ilvl w:val="2"/>
          <w:numId w:val="4"/>
        </w:numPr>
      </w:pPr>
      <w:r>
        <w:t>Member at large (3)</w:t>
      </w:r>
    </w:p>
    <w:p w14:paraId="28EF387C" w14:textId="5D4AE4D2" w:rsidR="0068426B" w:rsidRDefault="006A70B0" w:rsidP="0068426B">
      <w:pPr>
        <w:numPr>
          <w:ilvl w:val="1"/>
          <w:numId w:val="4"/>
        </w:numPr>
      </w:pPr>
      <w:r w:rsidRPr="00CD560A">
        <w:rPr>
          <w:b/>
        </w:rPr>
        <w:t>Other division positions</w:t>
      </w:r>
      <w:r w:rsidR="0013468D">
        <w:t xml:space="preserve">: When the Division reached 500 members in 2021 Technical Committees were added. Those positions were discussed and largely </w:t>
      </w:r>
      <w:r w:rsidR="0013468D">
        <w:lastRenderedPageBreak/>
        <w:t xml:space="preserve">filled during the 2023 Executive Committee meeting as were positions on the ESG Toolkit Reviews committee. These are included in the 2023-2024 Nominations Packet. </w:t>
      </w:r>
    </w:p>
    <w:p w14:paraId="5D7B8739" w14:textId="77777777" w:rsidR="00C92F51" w:rsidRDefault="00C92F51" w:rsidP="00B12B99"/>
    <w:p w14:paraId="33226A1D" w14:textId="5FD8EB87" w:rsidR="00350271" w:rsidRPr="00CD560A" w:rsidRDefault="00350271" w:rsidP="00350271">
      <w:pPr>
        <w:numPr>
          <w:ilvl w:val="0"/>
          <w:numId w:val="1"/>
        </w:numPr>
        <w:rPr>
          <w:b/>
        </w:rPr>
      </w:pPr>
      <w:r w:rsidRPr="00CD560A">
        <w:rPr>
          <w:b/>
        </w:rPr>
        <w:t>2023</w:t>
      </w:r>
      <w:r w:rsidR="00B12B99" w:rsidRPr="00CD560A">
        <w:rPr>
          <w:b/>
        </w:rPr>
        <w:t xml:space="preserve"> and 2024</w:t>
      </w:r>
      <w:r w:rsidRPr="00CD560A">
        <w:rPr>
          <w:b/>
        </w:rPr>
        <w:t xml:space="preserve"> Programming</w:t>
      </w:r>
      <w:r w:rsidR="001708D2" w:rsidRPr="00CD560A">
        <w:rPr>
          <w:b/>
        </w:rPr>
        <w:t xml:space="preserve"> and Other </w:t>
      </w:r>
      <w:r w:rsidR="00532664" w:rsidRPr="00CD560A">
        <w:rPr>
          <w:b/>
        </w:rPr>
        <w:t xml:space="preserve">Conference </w:t>
      </w:r>
      <w:r w:rsidR="001708D2" w:rsidRPr="00CD560A">
        <w:rPr>
          <w:b/>
        </w:rPr>
        <w:t>Activities</w:t>
      </w:r>
      <w:r w:rsidRPr="00CD560A">
        <w:rPr>
          <w:b/>
        </w:rPr>
        <w:t xml:space="preserve"> </w:t>
      </w:r>
    </w:p>
    <w:p w14:paraId="05BC783F" w14:textId="0BA34B3D" w:rsidR="00B902B3" w:rsidRDefault="00B902B3" w:rsidP="00B902B3">
      <w:pPr>
        <w:numPr>
          <w:ilvl w:val="1"/>
          <w:numId w:val="1"/>
        </w:numPr>
      </w:pPr>
      <w:r>
        <w:t>5K sponsors/Health Challenge (Gleason)</w:t>
      </w:r>
      <w:r w:rsidR="0013468D">
        <w:t xml:space="preserve"> – 80 people registered for the 5K Fun run sponsored by Rio Tinto. The run took place at Denver’s City Park on Monday, Feb. 27. </w:t>
      </w:r>
    </w:p>
    <w:p w14:paraId="207B2AA8" w14:textId="768FF88A" w:rsidR="00350271" w:rsidRDefault="005B56F9" w:rsidP="00350271">
      <w:pPr>
        <w:numPr>
          <w:ilvl w:val="1"/>
          <w:numId w:val="1"/>
        </w:numPr>
      </w:pPr>
      <w:r w:rsidRPr="00816181">
        <w:rPr>
          <w:b/>
          <w:bCs/>
        </w:rPr>
        <w:t xml:space="preserve">2023 </w:t>
      </w:r>
      <w:r w:rsidR="00E07CCC" w:rsidRPr="00816181">
        <w:rPr>
          <w:b/>
          <w:bCs/>
        </w:rPr>
        <w:t>p</w:t>
      </w:r>
      <w:r w:rsidRPr="00816181">
        <w:rPr>
          <w:b/>
          <w:bCs/>
        </w:rPr>
        <w:t>rogram</w:t>
      </w:r>
      <w:r w:rsidR="001708D2" w:rsidRPr="00816181">
        <w:t xml:space="preserve"> </w:t>
      </w:r>
      <w:r w:rsidR="001708D2">
        <w:t>(Roghanchi)</w:t>
      </w:r>
      <w:r w:rsidR="0013468D">
        <w:t xml:space="preserve"> provided an update on the programing for the 2023 Conference. </w:t>
      </w:r>
    </w:p>
    <w:p w14:paraId="234D08D1" w14:textId="77777777" w:rsidR="003206F8" w:rsidRPr="003206F8" w:rsidRDefault="003206F8" w:rsidP="003206F8">
      <w:pPr>
        <w:pStyle w:val="ListParagraph"/>
        <w:numPr>
          <w:ilvl w:val="0"/>
          <w:numId w:val="1"/>
        </w:numPr>
        <w:rPr>
          <w:sz w:val="22"/>
          <w:szCs w:val="22"/>
        </w:rPr>
      </w:pPr>
    </w:p>
    <w:tbl>
      <w:tblPr>
        <w:tblW w:w="9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0"/>
        <w:gridCol w:w="7020"/>
      </w:tblGrid>
      <w:tr w:rsidR="003206F8" w:rsidRPr="00B23526" w14:paraId="73088A6E" w14:textId="77777777" w:rsidTr="0087354E">
        <w:tc>
          <w:tcPr>
            <w:tcW w:w="2330" w:type="dxa"/>
            <w:tcBorders>
              <w:top w:val="single" w:sz="8" w:space="0" w:color="B4C6E7"/>
              <w:left w:val="single" w:sz="8" w:space="0" w:color="B4C6E7"/>
              <w:bottom w:val="single" w:sz="12" w:space="0" w:color="8EAADB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80F31" w14:textId="77777777" w:rsidR="003206F8" w:rsidRPr="00B23526" w:rsidRDefault="003206F8" w:rsidP="0087354E">
            <w:pPr>
              <w:rPr>
                <w:b/>
                <w:bCs/>
                <w:sz w:val="18"/>
                <w:szCs w:val="18"/>
              </w:rPr>
            </w:pPr>
            <w:bookmarkStart w:id="0" w:name="_Hlk113542700"/>
            <w:r w:rsidRPr="00B23526">
              <w:rPr>
                <w:b/>
                <w:bCs/>
                <w:sz w:val="18"/>
                <w:szCs w:val="18"/>
              </w:rPr>
              <w:t xml:space="preserve">Time </w:t>
            </w:r>
          </w:p>
        </w:tc>
        <w:tc>
          <w:tcPr>
            <w:tcW w:w="7020" w:type="dxa"/>
            <w:tcBorders>
              <w:top w:val="single" w:sz="8" w:space="0" w:color="B4C6E7"/>
              <w:left w:val="nil"/>
              <w:bottom w:val="single" w:sz="12" w:space="0" w:color="8EAADB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BBFC4" w14:textId="77777777" w:rsidR="003206F8" w:rsidRPr="00B23526" w:rsidRDefault="003206F8" w:rsidP="0087354E">
            <w:pPr>
              <w:rPr>
                <w:b/>
                <w:bCs/>
                <w:sz w:val="18"/>
                <w:szCs w:val="18"/>
              </w:rPr>
            </w:pPr>
            <w:r w:rsidRPr="00B23526">
              <w:rPr>
                <w:b/>
                <w:bCs/>
                <w:sz w:val="18"/>
                <w:szCs w:val="18"/>
              </w:rPr>
              <w:t>Session Title</w:t>
            </w:r>
          </w:p>
        </w:tc>
      </w:tr>
      <w:tr w:rsidR="003206F8" w:rsidRPr="00B23526" w14:paraId="69472009" w14:textId="77777777" w:rsidTr="0087354E">
        <w:tc>
          <w:tcPr>
            <w:tcW w:w="2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B3A210" w14:textId="77777777" w:rsidR="003206F8" w:rsidRPr="00B23526" w:rsidRDefault="003206F8" w:rsidP="0087354E">
            <w:pPr>
              <w:rPr>
                <w:sz w:val="18"/>
                <w:szCs w:val="18"/>
              </w:rPr>
            </w:pPr>
            <w:r w:rsidRPr="00B23526">
              <w:rPr>
                <w:color w:val="000000"/>
                <w:sz w:val="18"/>
                <w:szCs w:val="18"/>
              </w:rPr>
              <w:t>Monday</w:t>
            </w:r>
            <w:r>
              <w:rPr>
                <w:color w:val="000000"/>
                <w:sz w:val="18"/>
                <w:szCs w:val="18"/>
              </w:rPr>
              <w:t>, 2/27, 2 pm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5CFC47" w14:textId="77777777" w:rsidR="003206F8" w:rsidRPr="00B23526" w:rsidRDefault="003206F8" w:rsidP="0087354E">
            <w:pPr>
              <w:rPr>
                <w:sz w:val="18"/>
                <w:szCs w:val="18"/>
              </w:rPr>
            </w:pPr>
            <w:r w:rsidRPr="00B23526">
              <w:rPr>
                <w:color w:val="000000"/>
                <w:sz w:val="18"/>
                <w:szCs w:val="18"/>
              </w:rPr>
              <w:t>H&amp;S Case Studies in Direct Reading Instrumentation and Sensor Technology</w:t>
            </w:r>
          </w:p>
        </w:tc>
      </w:tr>
      <w:tr w:rsidR="003206F8" w:rsidRPr="00B23526" w14:paraId="234B7C2D" w14:textId="77777777" w:rsidTr="0087354E">
        <w:tc>
          <w:tcPr>
            <w:tcW w:w="2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A4D701" w14:textId="77777777" w:rsidR="003206F8" w:rsidRPr="00B23526" w:rsidRDefault="003206F8" w:rsidP="0087354E">
            <w:pPr>
              <w:rPr>
                <w:sz w:val="18"/>
                <w:szCs w:val="18"/>
              </w:rPr>
            </w:pPr>
            <w:r w:rsidRPr="00B23526">
              <w:rPr>
                <w:color w:val="000000"/>
                <w:sz w:val="18"/>
                <w:szCs w:val="18"/>
              </w:rPr>
              <w:t>Tuesday</w:t>
            </w:r>
            <w:r>
              <w:rPr>
                <w:color w:val="000000"/>
                <w:sz w:val="18"/>
                <w:szCs w:val="18"/>
              </w:rPr>
              <w:t>, 2/28, 9 am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D9241F" w14:textId="77777777" w:rsidR="003206F8" w:rsidRPr="00B23526" w:rsidRDefault="003206F8" w:rsidP="0087354E">
            <w:pPr>
              <w:rPr>
                <w:sz w:val="18"/>
                <w:szCs w:val="18"/>
              </w:rPr>
            </w:pPr>
            <w:r w:rsidRPr="00B23526">
              <w:rPr>
                <w:color w:val="000000"/>
                <w:sz w:val="18"/>
                <w:szCs w:val="18"/>
              </w:rPr>
              <w:t>Exploring the Return on Value of Health &amp; Safety Management Systems (CORESafety) and Credential Programs (CMSP)</w:t>
            </w:r>
          </w:p>
        </w:tc>
      </w:tr>
      <w:tr w:rsidR="003206F8" w:rsidRPr="00B23526" w14:paraId="16C98D10" w14:textId="77777777" w:rsidTr="0087354E">
        <w:tc>
          <w:tcPr>
            <w:tcW w:w="2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E785B1" w14:textId="77777777" w:rsidR="003206F8" w:rsidRPr="00B23526" w:rsidRDefault="003206F8" w:rsidP="0087354E">
            <w:pPr>
              <w:rPr>
                <w:color w:val="000000"/>
                <w:sz w:val="18"/>
                <w:szCs w:val="18"/>
              </w:rPr>
            </w:pPr>
            <w:r w:rsidRPr="00B23526">
              <w:rPr>
                <w:color w:val="000000"/>
                <w:sz w:val="18"/>
                <w:szCs w:val="18"/>
              </w:rPr>
              <w:t>Tuesday</w:t>
            </w:r>
            <w:r>
              <w:rPr>
                <w:color w:val="000000"/>
                <w:sz w:val="18"/>
                <w:szCs w:val="18"/>
              </w:rPr>
              <w:t>, 2/28, 9 am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00ABBF" w14:textId="77777777" w:rsidR="003206F8" w:rsidRPr="00B23526" w:rsidRDefault="003206F8" w:rsidP="0087354E">
            <w:pPr>
              <w:rPr>
                <w:color w:val="000000"/>
                <w:sz w:val="18"/>
                <w:szCs w:val="18"/>
              </w:rPr>
            </w:pPr>
            <w:r w:rsidRPr="00B23526">
              <w:rPr>
                <w:color w:val="000000"/>
                <w:sz w:val="18"/>
                <w:szCs w:val="18"/>
              </w:rPr>
              <w:t>Reducing Occupational Exposures from a Hierarchy of Controls Perspective</w:t>
            </w:r>
          </w:p>
        </w:tc>
      </w:tr>
      <w:tr w:rsidR="003206F8" w:rsidRPr="00B23526" w14:paraId="0B6DD686" w14:textId="77777777" w:rsidTr="0087354E">
        <w:tc>
          <w:tcPr>
            <w:tcW w:w="2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356E03" w14:textId="77777777" w:rsidR="003206F8" w:rsidRPr="00B23526" w:rsidRDefault="003206F8" w:rsidP="0087354E">
            <w:pPr>
              <w:rPr>
                <w:sz w:val="18"/>
                <w:szCs w:val="18"/>
              </w:rPr>
            </w:pPr>
            <w:r w:rsidRPr="00B23526">
              <w:rPr>
                <w:color w:val="000000"/>
                <w:sz w:val="18"/>
                <w:szCs w:val="18"/>
              </w:rPr>
              <w:t>Tuesday</w:t>
            </w:r>
            <w:r>
              <w:rPr>
                <w:color w:val="000000"/>
                <w:sz w:val="18"/>
                <w:szCs w:val="18"/>
              </w:rPr>
              <w:t>, 2/28, 2 pm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CA42B5" w14:textId="77777777" w:rsidR="003206F8" w:rsidRPr="00B23526" w:rsidRDefault="003206F8" w:rsidP="0087354E">
            <w:pPr>
              <w:rPr>
                <w:sz w:val="18"/>
                <w:szCs w:val="18"/>
              </w:rPr>
            </w:pPr>
            <w:r w:rsidRPr="00B23526">
              <w:rPr>
                <w:color w:val="000000"/>
                <w:sz w:val="18"/>
                <w:szCs w:val="18"/>
              </w:rPr>
              <w:t>Hazard Recognition Using Artificial Intelligence and Machine Learning</w:t>
            </w:r>
          </w:p>
        </w:tc>
      </w:tr>
      <w:tr w:rsidR="003206F8" w:rsidRPr="00B23526" w14:paraId="5C402EE5" w14:textId="77777777" w:rsidTr="0087354E">
        <w:tc>
          <w:tcPr>
            <w:tcW w:w="2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CB9213" w14:textId="77777777" w:rsidR="003206F8" w:rsidRPr="00B23526" w:rsidRDefault="003206F8" w:rsidP="0087354E">
            <w:pPr>
              <w:rPr>
                <w:color w:val="000000"/>
                <w:sz w:val="18"/>
                <w:szCs w:val="18"/>
              </w:rPr>
            </w:pPr>
            <w:r w:rsidRPr="00B23526">
              <w:rPr>
                <w:color w:val="000000"/>
                <w:sz w:val="18"/>
                <w:szCs w:val="18"/>
              </w:rPr>
              <w:t>Tuesday</w:t>
            </w:r>
            <w:r>
              <w:rPr>
                <w:color w:val="000000"/>
                <w:sz w:val="18"/>
                <w:szCs w:val="18"/>
              </w:rPr>
              <w:t>, 2/28, 2 pm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AF89A5" w14:textId="77777777" w:rsidR="003206F8" w:rsidRPr="00B23526" w:rsidRDefault="003206F8" w:rsidP="0087354E">
            <w:pPr>
              <w:rPr>
                <w:color w:val="000000"/>
                <w:sz w:val="18"/>
                <w:szCs w:val="18"/>
              </w:rPr>
            </w:pPr>
            <w:r w:rsidRPr="00B23526">
              <w:rPr>
                <w:color w:val="000000"/>
                <w:sz w:val="18"/>
                <w:szCs w:val="18"/>
              </w:rPr>
              <w:t>Innovations in Emergency Preparedness and Response</w:t>
            </w:r>
          </w:p>
        </w:tc>
      </w:tr>
      <w:tr w:rsidR="003206F8" w:rsidRPr="00B23526" w14:paraId="42001629" w14:textId="77777777" w:rsidTr="0087354E">
        <w:tc>
          <w:tcPr>
            <w:tcW w:w="2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53EAA0" w14:textId="77777777" w:rsidR="003206F8" w:rsidRPr="00B23526" w:rsidRDefault="003206F8" w:rsidP="0087354E">
            <w:pPr>
              <w:rPr>
                <w:sz w:val="18"/>
                <w:szCs w:val="18"/>
              </w:rPr>
            </w:pPr>
            <w:r w:rsidRPr="00B23526">
              <w:rPr>
                <w:color w:val="000000"/>
                <w:sz w:val="18"/>
                <w:szCs w:val="18"/>
              </w:rPr>
              <w:t>Wednesday</w:t>
            </w:r>
            <w:r>
              <w:rPr>
                <w:color w:val="000000"/>
                <w:sz w:val="18"/>
                <w:szCs w:val="18"/>
              </w:rPr>
              <w:t>, 3/1, 9 am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5CB107" w14:textId="77777777" w:rsidR="003206F8" w:rsidRPr="00B23526" w:rsidRDefault="003206F8" w:rsidP="0087354E">
            <w:pPr>
              <w:rPr>
                <w:sz w:val="18"/>
                <w:szCs w:val="18"/>
              </w:rPr>
            </w:pPr>
            <w:r w:rsidRPr="00B23526">
              <w:rPr>
                <w:color w:val="000000"/>
                <w:sz w:val="18"/>
                <w:szCs w:val="18"/>
              </w:rPr>
              <w:t xml:space="preserve">Human Factors Issues in the Workplace: Problems and Solutions </w:t>
            </w:r>
          </w:p>
        </w:tc>
      </w:tr>
      <w:tr w:rsidR="003206F8" w:rsidRPr="00B23526" w14:paraId="33D69D70" w14:textId="77777777" w:rsidTr="0087354E">
        <w:tc>
          <w:tcPr>
            <w:tcW w:w="2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5EFAB7" w14:textId="77777777" w:rsidR="003206F8" w:rsidRPr="00B23526" w:rsidRDefault="003206F8" w:rsidP="0087354E">
            <w:pPr>
              <w:rPr>
                <w:sz w:val="18"/>
                <w:szCs w:val="18"/>
              </w:rPr>
            </w:pPr>
            <w:r w:rsidRPr="00B23526">
              <w:rPr>
                <w:color w:val="000000"/>
                <w:sz w:val="18"/>
                <w:szCs w:val="18"/>
              </w:rPr>
              <w:t>Wednesday</w:t>
            </w:r>
            <w:r>
              <w:rPr>
                <w:color w:val="000000"/>
                <w:sz w:val="18"/>
                <w:szCs w:val="18"/>
              </w:rPr>
              <w:t>, 3/1, 9 am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C4ED77" w14:textId="77777777" w:rsidR="003206F8" w:rsidRPr="00B23526" w:rsidRDefault="003206F8" w:rsidP="0087354E">
            <w:pPr>
              <w:rPr>
                <w:sz w:val="18"/>
                <w:szCs w:val="18"/>
              </w:rPr>
            </w:pPr>
            <w:r w:rsidRPr="00073F40">
              <w:rPr>
                <w:color w:val="000000"/>
                <w:sz w:val="18"/>
                <w:szCs w:val="18"/>
              </w:rPr>
              <w:t>Advancements in H&amp;S Training and Other Hazard Identification Strategies</w:t>
            </w:r>
          </w:p>
        </w:tc>
      </w:tr>
      <w:tr w:rsidR="003206F8" w:rsidRPr="00B23526" w14:paraId="0FE4F095" w14:textId="77777777" w:rsidTr="0087354E">
        <w:tc>
          <w:tcPr>
            <w:tcW w:w="2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6295CC" w14:textId="77777777" w:rsidR="003206F8" w:rsidRPr="00B23526" w:rsidRDefault="003206F8" w:rsidP="0087354E">
            <w:pPr>
              <w:rPr>
                <w:sz w:val="18"/>
                <w:szCs w:val="18"/>
              </w:rPr>
            </w:pPr>
            <w:r w:rsidRPr="00B23526">
              <w:rPr>
                <w:color w:val="000000"/>
                <w:sz w:val="18"/>
                <w:szCs w:val="18"/>
              </w:rPr>
              <w:t>Wednesday</w:t>
            </w:r>
            <w:r>
              <w:rPr>
                <w:color w:val="000000"/>
                <w:sz w:val="18"/>
                <w:szCs w:val="18"/>
              </w:rPr>
              <w:t>, 3/1, 2 pm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199139" w14:textId="77777777" w:rsidR="003206F8" w:rsidRPr="00B23526" w:rsidRDefault="003206F8" w:rsidP="0087354E">
            <w:pPr>
              <w:rPr>
                <w:sz w:val="18"/>
                <w:szCs w:val="18"/>
              </w:rPr>
            </w:pPr>
            <w:r w:rsidRPr="00B23526">
              <w:rPr>
                <w:color w:val="000000"/>
                <w:sz w:val="18"/>
                <w:szCs w:val="18"/>
              </w:rPr>
              <w:t>National Occupational Research Agenda (NORA): Future Health and Safety Challenges with All-Electric Mobile Equipment</w:t>
            </w:r>
          </w:p>
        </w:tc>
      </w:tr>
      <w:bookmarkEnd w:id="0"/>
    </w:tbl>
    <w:p w14:paraId="5CEE326F" w14:textId="77777777" w:rsidR="003206F8" w:rsidRPr="003206F8" w:rsidRDefault="003206F8" w:rsidP="003206F8">
      <w:pPr>
        <w:pStyle w:val="ListParagraph"/>
        <w:numPr>
          <w:ilvl w:val="0"/>
          <w:numId w:val="1"/>
        </w:numPr>
        <w:rPr>
          <w:rFonts w:ascii="Calibri" w:eastAsiaTheme="minorHAnsi" w:hAnsi="Calibri" w:cs="Calibri"/>
          <w:sz w:val="22"/>
          <w:szCs w:val="22"/>
        </w:rPr>
      </w:pPr>
    </w:p>
    <w:p w14:paraId="3911AFE8" w14:textId="77777777" w:rsidR="003206F8" w:rsidRPr="003206F8" w:rsidRDefault="003206F8" w:rsidP="003206F8">
      <w:pPr>
        <w:pStyle w:val="ListParagraph"/>
        <w:numPr>
          <w:ilvl w:val="0"/>
          <w:numId w:val="1"/>
        </w:numPr>
        <w:rPr>
          <w:b/>
          <w:bCs/>
          <w:sz w:val="18"/>
          <w:szCs w:val="18"/>
        </w:rPr>
      </w:pPr>
      <w:r w:rsidRPr="003206F8">
        <w:rPr>
          <w:b/>
          <w:bCs/>
          <w:sz w:val="18"/>
          <w:szCs w:val="18"/>
        </w:rPr>
        <w:t>Joint sessions led by other divisions</w:t>
      </w:r>
    </w:p>
    <w:tbl>
      <w:tblPr>
        <w:tblW w:w="9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0"/>
        <w:gridCol w:w="7020"/>
      </w:tblGrid>
      <w:tr w:rsidR="003206F8" w:rsidRPr="00B23526" w14:paraId="56B504DB" w14:textId="77777777" w:rsidTr="0087354E">
        <w:tc>
          <w:tcPr>
            <w:tcW w:w="2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961A1D" w14:textId="77777777" w:rsidR="003206F8" w:rsidRPr="00B23526" w:rsidRDefault="003206F8" w:rsidP="0087354E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Wednesday, 3/1, 2 pm</w:t>
            </w:r>
          </w:p>
        </w:tc>
        <w:tc>
          <w:tcPr>
            <w:tcW w:w="7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74CBA2" w14:textId="77777777" w:rsidR="003206F8" w:rsidRPr="00B23526" w:rsidRDefault="003206F8" w:rsidP="0087354E">
            <w:pPr>
              <w:rPr>
                <w:sz w:val="18"/>
                <w:szCs w:val="18"/>
              </w:rPr>
            </w:pPr>
            <w:r w:rsidRPr="00B23526">
              <w:rPr>
                <w:color w:val="000000"/>
                <w:sz w:val="18"/>
                <w:szCs w:val="18"/>
              </w:rPr>
              <w:t>Health and Safety in Industrial Minerals (Joint Session with IM&amp;A)</w:t>
            </w:r>
          </w:p>
        </w:tc>
      </w:tr>
      <w:tr w:rsidR="003206F8" w:rsidRPr="00B23526" w14:paraId="537CB0AB" w14:textId="77777777" w:rsidTr="0087354E">
        <w:tc>
          <w:tcPr>
            <w:tcW w:w="2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881AE6" w14:textId="77777777" w:rsidR="003206F8" w:rsidRPr="00B23526" w:rsidRDefault="003206F8" w:rsidP="0087354E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Tuesday, 2/28, 2pm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7CE57C" w14:textId="77777777" w:rsidR="003206F8" w:rsidRPr="00B23526" w:rsidRDefault="003206F8" w:rsidP="0087354E">
            <w:pPr>
              <w:rPr>
                <w:sz w:val="18"/>
                <w:szCs w:val="18"/>
              </w:rPr>
            </w:pPr>
            <w:r w:rsidRPr="00B23526">
              <w:rPr>
                <w:color w:val="000000"/>
                <w:sz w:val="18"/>
                <w:szCs w:val="18"/>
              </w:rPr>
              <w:t xml:space="preserve">Health and Safety in M&amp;E (Joint Session with M&amp;E) </w:t>
            </w:r>
          </w:p>
        </w:tc>
      </w:tr>
    </w:tbl>
    <w:p w14:paraId="4BB1D4D9" w14:textId="77777777" w:rsidR="00CC6939" w:rsidRDefault="00CC6939" w:rsidP="00CC6939"/>
    <w:p w14:paraId="0262210B" w14:textId="46BE28E2" w:rsidR="00B16CF8" w:rsidRDefault="005B56F9" w:rsidP="001708D2">
      <w:pPr>
        <w:pStyle w:val="ListParagraph"/>
        <w:numPr>
          <w:ilvl w:val="1"/>
          <w:numId w:val="1"/>
        </w:numPr>
      </w:pPr>
      <w:r>
        <w:t>H&amp;S Breakfast Speakers</w:t>
      </w:r>
      <w:r w:rsidR="00B16CF8">
        <w:t>: Investing in Success – Building Trust in Mining</w:t>
      </w:r>
      <w:r w:rsidR="001708D2">
        <w:t xml:space="preserve"> (Haas)</w:t>
      </w:r>
    </w:p>
    <w:p w14:paraId="77114408" w14:textId="3097BF82" w:rsidR="004D0427" w:rsidRPr="00975848" w:rsidRDefault="004D0427" w:rsidP="006D18A9">
      <w:pPr>
        <w:pStyle w:val="ListParagraph"/>
        <w:numPr>
          <w:ilvl w:val="1"/>
          <w:numId w:val="3"/>
        </w:numPr>
        <w:rPr>
          <w:sz w:val="18"/>
          <w:szCs w:val="18"/>
        </w:rPr>
      </w:pPr>
      <w:r w:rsidRPr="00975848">
        <w:rPr>
          <w:sz w:val="18"/>
          <w:szCs w:val="18"/>
        </w:rPr>
        <w:t>John Dony, N</w:t>
      </w:r>
      <w:r w:rsidR="001708D2" w:rsidRPr="00975848">
        <w:rPr>
          <w:sz w:val="18"/>
          <w:szCs w:val="18"/>
        </w:rPr>
        <w:t>ational Safety Council</w:t>
      </w:r>
      <w:r w:rsidR="00975848" w:rsidRPr="00975848">
        <w:rPr>
          <w:sz w:val="18"/>
          <w:szCs w:val="18"/>
        </w:rPr>
        <w:t xml:space="preserve"> </w:t>
      </w:r>
      <w:r w:rsidRPr="00975848">
        <w:rPr>
          <w:sz w:val="18"/>
          <w:szCs w:val="18"/>
        </w:rPr>
        <w:t>Harvard School of Public Health</w:t>
      </w:r>
    </w:p>
    <w:p w14:paraId="25EB0811" w14:textId="231769F7" w:rsidR="001708D2" w:rsidRDefault="001708D2" w:rsidP="001708D2">
      <w:pPr>
        <w:rPr>
          <w:sz w:val="18"/>
          <w:szCs w:val="18"/>
        </w:rPr>
      </w:pPr>
    </w:p>
    <w:p w14:paraId="5448FBFA" w14:textId="7CFD554D" w:rsidR="001708D2" w:rsidRPr="001708D2" w:rsidRDefault="001708D2" w:rsidP="001708D2">
      <w:pPr>
        <w:pStyle w:val="ListParagraph"/>
        <w:numPr>
          <w:ilvl w:val="1"/>
          <w:numId w:val="1"/>
        </w:numPr>
      </w:pPr>
      <w:r w:rsidRPr="001708D2">
        <w:t xml:space="preserve">Collaboration with YLC for CPR/First aid training </w:t>
      </w:r>
      <w:r w:rsidR="006D502D">
        <w:t xml:space="preserve">– Tuesday, 2/26, 1-5 pm </w:t>
      </w:r>
      <w:r w:rsidRPr="001708D2">
        <w:t>(</w:t>
      </w:r>
      <w:r w:rsidR="00C86FB8">
        <w:t>Walster/Gregor</w:t>
      </w:r>
      <w:r w:rsidRPr="001708D2">
        <w:t>)</w:t>
      </w:r>
    </w:p>
    <w:p w14:paraId="2961696A" w14:textId="05A6C1FA" w:rsidR="00350271" w:rsidRDefault="00350271" w:rsidP="00350271"/>
    <w:p w14:paraId="696C432C" w14:textId="6B30591E" w:rsidR="00C86FB8" w:rsidRDefault="00E83878" w:rsidP="00816181">
      <w:pPr>
        <w:pStyle w:val="ListParagraph"/>
        <w:numPr>
          <w:ilvl w:val="1"/>
          <w:numId w:val="1"/>
        </w:numPr>
      </w:pPr>
      <w:r w:rsidRPr="00816181">
        <w:rPr>
          <w:b/>
          <w:bCs/>
        </w:rPr>
        <w:t>2024 Program</w:t>
      </w:r>
      <w:r w:rsidR="00B902B3" w:rsidRPr="00816181">
        <w:rPr>
          <w:b/>
          <w:bCs/>
        </w:rPr>
        <w:t xml:space="preserve"> plans </w:t>
      </w:r>
      <w:r w:rsidR="00B902B3">
        <w:t>(</w:t>
      </w:r>
      <w:r w:rsidR="00F40B3C">
        <w:t>Roghanchi/Walster)</w:t>
      </w:r>
    </w:p>
    <w:p w14:paraId="090EE390" w14:textId="77777777" w:rsidR="00C86FB8" w:rsidRDefault="00C86FB8" w:rsidP="00350271"/>
    <w:p w14:paraId="1915DAFB" w14:textId="310300CF" w:rsidR="00350271" w:rsidRPr="00CD560A" w:rsidRDefault="00350271" w:rsidP="00350271">
      <w:pPr>
        <w:numPr>
          <w:ilvl w:val="0"/>
          <w:numId w:val="1"/>
        </w:numPr>
        <w:rPr>
          <w:b/>
        </w:rPr>
      </w:pPr>
      <w:r w:rsidRPr="00CD560A">
        <w:rPr>
          <w:b/>
        </w:rPr>
        <w:t>Division Communications (R</w:t>
      </w:r>
      <w:r w:rsidR="009D1097" w:rsidRPr="00CD560A">
        <w:rPr>
          <w:b/>
        </w:rPr>
        <w:t>ichins</w:t>
      </w:r>
      <w:r w:rsidRPr="00CD560A">
        <w:rPr>
          <w:b/>
        </w:rPr>
        <w:t xml:space="preserve">) </w:t>
      </w:r>
    </w:p>
    <w:p w14:paraId="6375F831" w14:textId="20F3BDDB" w:rsidR="000E7D83" w:rsidRDefault="000E7D83" w:rsidP="000E7D83">
      <w:pPr>
        <w:numPr>
          <w:ilvl w:val="1"/>
          <w:numId w:val="1"/>
        </w:numPr>
      </w:pPr>
      <w:r>
        <w:t>Lessons learned this year and suggestions for next</w:t>
      </w:r>
      <w:r w:rsidR="00975848">
        <w:t>: Richins spoke about the challenges of getting content for the Safety Shares in Mining Engineering and offered help to the next Communications Chair.</w:t>
      </w:r>
    </w:p>
    <w:p w14:paraId="0478FCB4" w14:textId="308328FC" w:rsidR="00254499" w:rsidRDefault="00254499" w:rsidP="00254499"/>
    <w:p w14:paraId="0E5E40B2" w14:textId="2288FF6D" w:rsidR="00975848" w:rsidRDefault="002F5446" w:rsidP="000B1524">
      <w:pPr>
        <w:numPr>
          <w:ilvl w:val="0"/>
          <w:numId w:val="1"/>
        </w:numPr>
        <w:rPr>
          <w:color w:val="000000" w:themeColor="text1"/>
        </w:rPr>
      </w:pPr>
      <w:r w:rsidRPr="00CD560A">
        <w:rPr>
          <w:b/>
        </w:rPr>
        <w:t>Awards and Scholarship (Haas)</w:t>
      </w:r>
      <w:r w:rsidR="00CD560A">
        <w:rPr>
          <w:b/>
        </w:rPr>
        <w:t>:</w:t>
      </w:r>
      <w:r w:rsidR="00975848">
        <w:t xml:space="preserve"> </w:t>
      </w:r>
      <w:r w:rsidR="00975848" w:rsidRPr="00975848">
        <w:rPr>
          <w:color w:val="000000" w:themeColor="text1"/>
        </w:rPr>
        <w:t>Haas announced that the Health and Safety Division presented its first scholarships in 2023. Two graduate and</w:t>
      </w:r>
      <w:r w:rsidRPr="00975848">
        <w:rPr>
          <w:color w:val="000000" w:themeColor="text1"/>
        </w:rPr>
        <w:t>1 undergraduate scholarship</w:t>
      </w:r>
      <w:r w:rsidR="00975848" w:rsidRPr="00975848">
        <w:rPr>
          <w:color w:val="000000" w:themeColor="text1"/>
        </w:rPr>
        <w:t xml:space="preserve"> were presented to Mustafa Suner – West Virginia University</w:t>
      </w:r>
      <w:r w:rsidR="00975848">
        <w:rPr>
          <w:color w:val="000000" w:themeColor="text1"/>
        </w:rPr>
        <w:t xml:space="preserve">; </w:t>
      </w:r>
      <w:r w:rsidR="00975848" w:rsidRPr="00975848">
        <w:rPr>
          <w:color w:val="000000" w:themeColor="text1"/>
        </w:rPr>
        <w:t>Klaus Pacheco – Colorado School of Mines</w:t>
      </w:r>
      <w:r w:rsidR="00975848" w:rsidRPr="00975848">
        <w:t xml:space="preserve"> and </w:t>
      </w:r>
      <w:r w:rsidR="00975848" w:rsidRPr="00975848">
        <w:rPr>
          <w:color w:val="000000" w:themeColor="text1"/>
        </w:rPr>
        <w:t>Alison Mertz – New Mexico Institute of Mining and Technology</w:t>
      </w:r>
    </w:p>
    <w:p w14:paraId="18955EA0" w14:textId="27A8D1A5" w:rsidR="00975848" w:rsidRDefault="00975848" w:rsidP="00975848">
      <w:pPr>
        <w:numPr>
          <w:ilvl w:val="0"/>
          <w:numId w:val="1"/>
        </w:numPr>
      </w:pPr>
      <w:r w:rsidRPr="00CD560A">
        <w:rPr>
          <w:b/>
          <w:color w:val="000000" w:themeColor="text1"/>
        </w:rPr>
        <w:t>Awards</w:t>
      </w:r>
      <w:r w:rsidR="00CD560A">
        <w:rPr>
          <w:color w:val="000000" w:themeColor="text1"/>
        </w:rPr>
        <w:t>:</w:t>
      </w:r>
      <w:r w:rsidRPr="00CD560A">
        <w:rPr>
          <w:color w:val="000000" w:themeColor="text1"/>
        </w:rPr>
        <w:t xml:space="preserve"> </w:t>
      </w:r>
      <w:r w:rsidRPr="00975848">
        <w:rPr>
          <w:color w:val="000000" w:themeColor="text1"/>
        </w:rPr>
        <w:t>The Division has struggled to attract nominations for the Operational Excellence Award. The</w:t>
      </w:r>
      <w:r>
        <w:rPr>
          <w:color w:val="000000" w:themeColor="text1"/>
        </w:rPr>
        <w:t xml:space="preserve"> criteria was changed to read as follows</w:t>
      </w:r>
      <w:r w:rsidRPr="00975848">
        <w:rPr>
          <w:color w:val="000000" w:themeColor="text1"/>
        </w:rPr>
        <w:t xml:space="preserve">: </w:t>
      </w:r>
    </w:p>
    <w:p w14:paraId="2E41B490" w14:textId="77777777" w:rsidR="00975848" w:rsidRDefault="00975848" w:rsidP="00975848">
      <w:pPr>
        <w:ind w:left="720"/>
        <w:rPr>
          <w:sz w:val="23"/>
          <w:szCs w:val="23"/>
        </w:rPr>
      </w:pPr>
      <w:r>
        <w:t>“</w:t>
      </w:r>
      <w:r w:rsidRPr="00975848">
        <w:rPr>
          <w:sz w:val="23"/>
          <w:szCs w:val="23"/>
        </w:rPr>
        <w:t xml:space="preserve">The Health &amp; Safety Operational Excellence Award was established in 2012 and is presented to a mining operation engaged in exploration, mining and/or metallurgy. The Award recognizes operations that demonstrate improved health or safety performance as a result of (1) designing, launching, and/or tracking initiatives over at least the past three years </w:t>
      </w:r>
      <w:r w:rsidRPr="00975848">
        <w:rPr>
          <w:i/>
          <w:iCs/>
          <w:sz w:val="23"/>
          <w:szCs w:val="23"/>
        </w:rPr>
        <w:lastRenderedPageBreak/>
        <w:t xml:space="preserve">or </w:t>
      </w:r>
      <w:r w:rsidRPr="00975848">
        <w:rPr>
          <w:sz w:val="23"/>
          <w:szCs w:val="23"/>
        </w:rPr>
        <w:t>(2) maintaining programs for more than three years that require a considerable commitment of resources.</w:t>
      </w:r>
    </w:p>
    <w:p w14:paraId="1603261E" w14:textId="77777777" w:rsidR="00975848" w:rsidRDefault="00975848" w:rsidP="00975848">
      <w:pPr>
        <w:ind w:left="720"/>
        <w:rPr>
          <w:sz w:val="23"/>
          <w:szCs w:val="23"/>
        </w:rPr>
      </w:pPr>
      <w:r>
        <w:rPr>
          <w:sz w:val="23"/>
          <w:szCs w:val="23"/>
        </w:rPr>
        <w:t xml:space="preserve">For consideration, operators should submit documentation that demonstrates their improved health or safety performance and describes the nature and level of effort associated with the initiative/program. Examples of supporting documentation may include: </w:t>
      </w:r>
    </w:p>
    <w:p w14:paraId="72CBDA5D" w14:textId="7B2F6177" w:rsidR="00975848" w:rsidRDefault="00975848" w:rsidP="00975848">
      <w:pPr>
        <w:ind w:left="720"/>
        <w:rPr>
          <w:sz w:val="23"/>
          <w:szCs w:val="23"/>
        </w:rPr>
      </w:pPr>
      <w:r>
        <w:rPr>
          <w:sz w:val="23"/>
          <w:szCs w:val="23"/>
        </w:rPr>
        <w:t>1. Self-reported survey data indicating improved confidence in critical competencies</w:t>
      </w:r>
    </w:p>
    <w:p w14:paraId="3A70245A" w14:textId="63BB0B17" w:rsidR="00975848" w:rsidRDefault="00975848" w:rsidP="00975848">
      <w:pPr>
        <w:ind w:left="720"/>
        <w:rPr>
          <w:sz w:val="23"/>
          <w:szCs w:val="23"/>
        </w:rPr>
      </w:pPr>
      <w:r>
        <w:rPr>
          <w:sz w:val="23"/>
          <w:szCs w:val="23"/>
        </w:rPr>
        <w:t>2. Safety and health management systems</w:t>
      </w:r>
    </w:p>
    <w:p w14:paraId="7FC805C9" w14:textId="77777777" w:rsidR="00975848" w:rsidRDefault="00975848" w:rsidP="00975848">
      <w:pPr>
        <w:ind w:left="720"/>
        <w:rPr>
          <w:sz w:val="23"/>
          <w:szCs w:val="23"/>
        </w:rPr>
      </w:pPr>
      <w:r>
        <w:rPr>
          <w:sz w:val="23"/>
          <w:szCs w:val="23"/>
        </w:rPr>
        <w:t>3. Engineering standards and practices</w:t>
      </w:r>
    </w:p>
    <w:p w14:paraId="087B029F" w14:textId="77777777" w:rsidR="00975848" w:rsidRDefault="00975848" w:rsidP="00975848">
      <w:pPr>
        <w:ind w:left="720"/>
        <w:rPr>
          <w:sz w:val="23"/>
          <w:szCs w:val="23"/>
        </w:rPr>
      </w:pPr>
      <w:r>
        <w:rPr>
          <w:sz w:val="23"/>
          <w:szCs w:val="23"/>
        </w:rPr>
        <w:t>4. Risk management practices</w:t>
      </w:r>
    </w:p>
    <w:p w14:paraId="75ACF65B" w14:textId="77777777" w:rsidR="00975848" w:rsidRDefault="00975848" w:rsidP="00975848">
      <w:pPr>
        <w:ind w:left="720"/>
        <w:rPr>
          <w:sz w:val="23"/>
          <w:szCs w:val="23"/>
        </w:rPr>
      </w:pPr>
      <w:r>
        <w:rPr>
          <w:sz w:val="23"/>
          <w:szCs w:val="23"/>
        </w:rPr>
        <w:t>5. Training and education module/curriculum</w:t>
      </w:r>
    </w:p>
    <w:p w14:paraId="0F453224" w14:textId="77777777" w:rsidR="00975848" w:rsidRDefault="00975848" w:rsidP="00975848">
      <w:pPr>
        <w:ind w:left="720"/>
        <w:rPr>
          <w:sz w:val="23"/>
          <w:szCs w:val="23"/>
        </w:rPr>
      </w:pPr>
      <w:r>
        <w:rPr>
          <w:sz w:val="23"/>
          <w:szCs w:val="23"/>
        </w:rPr>
        <w:t>6. Emergency response practices</w:t>
      </w:r>
    </w:p>
    <w:p w14:paraId="735ECBF4" w14:textId="77777777" w:rsidR="00975848" w:rsidRDefault="00975848" w:rsidP="00975848">
      <w:pPr>
        <w:ind w:left="720"/>
        <w:rPr>
          <w:sz w:val="23"/>
          <w:szCs w:val="23"/>
        </w:rPr>
      </w:pPr>
      <w:r>
        <w:rPr>
          <w:sz w:val="23"/>
          <w:szCs w:val="23"/>
        </w:rPr>
        <w:t>7. MSHA &amp; OSHA compliance practices</w:t>
      </w:r>
    </w:p>
    <w:p w14:paraId="47A3C2BF" w14:textId="77777777" w:rsidR="00975848" w:rsidRDefault="00975848" w:rsidP="00975848">
      <w:pPr>
        <w:ind w:left="720"/>
        <w:rPr>
          <w:sz w:val="23"/>
          <w:szCs w:val="23"/>
        </w:rPr>
      </w:pPr>
      <w:r>
        <w:rPr>
          <w:sz w:val="23"/>
          <w:szCs w:val="23"/>
        </w:rPr>
        <w:t xml:space="preserve">8. Behavior optimization practices </w:t>
      </w:r>
    </w:p>
    <w:p w14:paraId="1980AA2D" w14:textId="0725D003" w:rsidR="00975848" w:rsidRPr="00975848" w:rsidRDefault="00975848" w:rsidP="00975848">
      <w:pPr>
        <w:ind w:left="720"/>
      </w:pPr>
    </w:p>
    <w:p w14:paraId="3CA4B768" w14:textId="24AF5F9A" w:rsidR="00975848" w:rsidRPr="00975848" w:rsidRDefault="00975848" w:rsidP="00CD560A">
      <w:pPr>
        <w:ind w:left="720"/>
        <w:rPr>
          <w:color w:val="000000" w:themeColor="text1"/>
        </w:rPr>
      </w:pPr>
      <w:r>
        <w:rPr>
          <w:color w:val="000000" w:themeColor="text1"/>
        </w:rPr>
        <w:t xml:space="preserve">Lee Saperstein proposed that the Division consider naming its Research and Education Award in honor of Dr. Jessica Kogel, SME 2013 President who was influential in the creation of the H&amp;S Division. </w:t>
      </w:r>
    </w:p>
    <w:p w14:paraId="0F3C0ED2" w14:textId="76F37008" w:rsidR="00D2423E" w:rsidRDefault="00D2423E" w:rsidP="00AB6812"/>
    <w:p w14:paraId="78DEBF28" w14:textId="7F4A0D62" w:rsidR="00F973C1" w:rsidRDefault="00F973C1" w:rsidP="00F973C1">
      <w:pPr>
        <w:pStyle w:val="ListParagraph"/>
        <w:numPr>
          <w:ilvl w:val="0"/>
          <w:numId w:val="1"/>
        </w:numPr>
      </w:pPr>
      <w:r w:rsidRPr="00CD560A">
        <w:rPr>
          <w:b/>
        </w:rPr>
        <w:t>NORA Update (Saperstein)</w:t>
      </w:r>
      <w:r>
        <w:t xml:space="preserve"> </w:t>
      </w:r>
      <w:r w:rsidR="00975848">
        <w:t xml:space="preserve">– Saperstein reported on the NORA Council Section Session that would focus on the growing area of concern around the safety of batteries used in electric vehicles at mine sites. </w:t>
      </w:r>
    </w:p>
    <w:p w14:paraId="68DCC782" w14:textId="77777777" w:rsidR="00F973C1" w:rsidRDefault="00F973C1" w:rsidP="00AB6812"/>
    <w:p w14:paraId="278D2DB0" w14:textId="456F98ED" w:rsidR="00716067" w:rsidRPr="00CD560A" w:rsidRDefault="0021016E" w:rsidP="00716067">
      <w:pPr>
        <w:numPr>
          <w:ilvl w:val="0"/>
          <w:numId w:val="1"/>
        </w:numPr>
        <w:rPr>
          <w:b/>
        </w:rPr>
      </w:pPr>
      <w:r w:rsidRPr="00CD560A">
        <w:rPr>
          <w:b/>
        </w:rPr>
        <w:t xml:space="preserve">ESG </w:t>
      </w:r>
      <w:r w:rsidR="00AB6812" w:rsidRPr="00CD560A">
        <w:rPr>
          <w:b/>
        </w:rPr>
        <w:t>Toolkit (the divisions role) (Savit</w:t>
      </w:r>
      <w:r w:rsidR="000F192A" w:rsidRPr="00CD560A">
        <w:rPr>
          <w:b/>
        </w:rPr>
        <w:t>/Haas/Moore</w:t>
      </w:r>
      <w:r w:rsidR="00AB6812" w:rsidRPr="00CD560A">
        <w:rPr>
          <w:b/>
        </w:rPr>
        <w:t>)</w:t>
      </w:r>
    </w:p>
    <w:p w14:paraId="6E1E903A" w14:textId="77777777" w:rsidR="00716067" w:rsidRDefault="00716067" w:rsidP="00716067">
      <w:pPr>
        <w:numPr>
          <w:ilvl w:val="1"/>
          <w:numId w:val="1"/>
        </w:numPr>
      </w:pPr>
      <w:r>
        <w:t xml:space="preserve">Approved SOP for 1) initial reviews of submissions for ESG Toolkit and 2) annual reviews of existing submissions in the ESG toolkit. </w:t>
      </w:r>
    </w:p>
    <w:p w14:paraId="760B38C1" w14:textId="42C12E0B" w:rsidR="00716067" w:rsidRDefault="00716067" w:rsidP="00716067">
      <w:pPr>
        <w:numPr>
          <w:ilvl w:val="1"/>
          <w:numId w:val="1"/>
        </w:numPr>
      </w:pPr>
      <w:r>
        <w:t>Next step – pilot SOP with articles received from NIOSH mining divisions</w:t>
      </w:r>
    </w:p>
    <w:p w14:paraId="0E7FB7A7" w14:textId="77777777" w:rsidR="00BC074A" w:rsidRDefault="00BC074A" w:rsidP="00BC074A"/>
    <w:p w14:paraId="15CCDF07" w14:textId="7D425313" w:rsidR="00166026" w:rsidRDefault="00BC074A" w:rsidP="00166026">
      <w:pPr>
        <w:pStyle w:val="ListParagraph"/>
        <w:numPr>
          <w:ilvl w:val="0"/>
          <w:numId w:val="1"/>
        </w:numPr>
      </w:pPr>
      <w:r w:rsidRPr="00CD560A">
        <w:rPr>
          <w:b/>
        </w:rPr>
        <w:t>Health and Safety Handbook</w:t>
      </w:r>
      <w:r w:rsidR="00466F66" w:rsidRPr="00CD560A">
        <w:rPr>
          <w:b/>
        </w:rPr>
        <w:t xml:space="preserve"> update</w:t>
      </w:r>
      <w:r w:rsidRPr="00CD560A">
        <w:rPr>
          <w:b/>
        </w:rPr>
        <w:t xml:space="preserve"> (Haas)</w:t>
      </w:r>
      <w:r w:rsidR="00CD560A">
        <w:rPr>
          <w:b/>
        </w:rPr>
        <w:t>:</w:t>
      </w:r>
      <w:r w:rsidR="00975848">
        <w:t xml:space="preserve"> Haas is </w:t>
      </w:r>
      <w:r w:rsidR="00E22B33">
        <w:t xml:space="preserve">in the process of collecting chapters for the forth coming Health and Safety Handbook to be published by SME. </w:t>
      </w:r>
    </w:p>
    <w:p w14:paraId="65149511" w14:textId="77777777" w:rsidR="00350271" w:rsidRDefault="00350271" w:rsidP="00350271"/>
    <w:p w14:paraId="1D428434" w14:textId="3B96E2C0" w:rsidR="00DA4A0C" w:rsidRDefault="000F192A" w:rsidP="00384558">
      <w:pPr>
        <w:pStyle w:val="ListParagraph"/>
        <w:numPr>
          <w:ilvl w:val="0"/>
          <w:numId w:val="1"/>
        </w:numPr>
      </w:pPr>
      <w:r w:rsidRPr="00CD560A">
        <w:rPr>
          <w:b/>
        </w:rPr>
        <w:t>CMSP Credentialing</w:t>
      </w:r>
      <w:r w:rsidR="00CD560A">
        <w:rPr>
          <w:b/>
        </w:rPr>
        <w:t>:</w:t>
      </w:r>
      <w:r>
        <w:t xml:space="preserve"> (</w:t>
      </w:r>
      <w:r w:rsidR="00E22B33">
        <w:t xml:space="preserve">Loff-Peterson provided a brief update on the activities of the IAMSH Board and requested that everyone look for a complete a survey that will be sent in April. It will help refine the Body of Knowledge for the CMSP Exam. </w:t>
      </w:r>
    </w:p>
    <w:p w14:paraId="1BD691B0" w14:textId="77777777" w:rsidR="00DA4A0C" w:rsidRDefault="00DA4A0C" w:rsidP="00DA4A0C">
      <w:pPr>
        <w:pStyle w:val="ListParagraph"/>
      </w:pPr>
    </w:p>
    <w:p w14:paraId="0635DDCF" w14:textId="64FB4F6B" w:rsidR="00384558" w:rsidRPr="00DA4A0C" w:rsidRDefault="00384558" w:rsidP="00384558">
      <w:pPr>
        <w:pStyle w:val="ListParagraph"/>
        <w:numPr>
          <w:ilvl w:val="0"/>
          <w:numId w:val="1"/>
        </w:numPr>
      </w:pPr>
      <w:r w:rsidRPr="00CD560A">
        <w:rPr>
          <w:b/>
        </w:rPr>
        <w:t>Division Bylaws:</w:t>
      </w:r>
      <w:r>
        <w:t xml:space="preserve"> The Executive Committee was informed by email of</w:t>
      </w:r>
      <w:r w:rsidR="00DA4A0C">
        <w:t xml:space="preserve"> the proposed bylaws changes </w:t>
      </w:r>
      <w:r>
        <w:t>to include a clause in order to better clarify the process of the distribution of remaining funds if the division were to be dissolved (attached).</w:t>
      </w:r>
      <w:r w:rsidR="00DA61D3">
        <w:t xml:space="preserve"> The Health and Safety Division executive committee unanimously approved the change by email vote. </w:t>
      </w:r>
      <w:bookmarkStart w:id="1" w:name="_GoBack"/>
      <w:bookmarkEnd w:id="1"/>
    </w:p>
    <w:p w14:paraId="1503EC31" w14:textId="7C15EB42" w:rsidR="00384558" w:rsidRDefault="00384558" w:rsidP="00CD560A">
      <w:pPr>
        <w:pStyle w:val="ListParagraph"/>
      </w:pPr>
    </w:p>
    <w:p w14:paraId="624C6671" w14:textId="4F2A6404" w:rsidR="006E07B6" w:rsidRDefault="006E07B6" w:rsidP="006052E9">
      <w:pPr>
        <w:pStyle w:val="ListParagraph"/>
      </w:pPr>
    </w:p>
    <w:sectPr w:rsidR="006E07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9DD63" w14:textId="77777777" w:rsidR="000C12EB" w:rsidRDefault="000C12EB" w:rsidP="00A67D29">
      <w:r>
        <w:separator/>
      </w:r>
    </w:p>
  </w:endnote>
  <w:endnote w:type="continuationSeparator" w:id="0">
    <w:p w14:paraId="2062FD63" w14:textId="77777777" w:rsidR="000C12EB" w:rsidRDefault="000C12EB" w:rsidP="00A67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20000087" w:usb1="10000000" w:usb2="00000000" w:usb3="00000000" w:csb0="8000011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6BB3B2" w14:textId="77777777" w:rsidR="000C12EB" w:rsidRDefault="000C12EB" w:rsidP="00A67D29">
      <w:r>
        <w:separator/>
      </w:r>
    </w:p>
  </w:footnote>
  <w:footnote w:type="continuationSeparator" w:id="0">
    <w:p w14:paraId="0CC1FE3B" w14:textId="77777777" w:rsidR="000C12EB" w:rsidRDefault="000C12EB" w:rsidP="00A67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A4254"/>
    <w:multiLevelType w:val="hybridMultilevel"/>
    <w:tmpl w:val="FA9E0994"/>
    <w:lvl w:ilvl="0" w:tplc="B0D21C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B50C3F"/>
    <w:multiLevelType w:val="hybridMultilevel"/>
    <w:tmpl w:val="0B0C4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4711E"/>
    <w:multiLevelType w:val="hybridMultilevel"/>
    <w:tmpl w:val="A7C00C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CD6088"/>
    <w:multiLevelType w:val="hybridMultilevel"/>
    <w:tmpl w:val="FA9E0994"/>
    <w:lvl w:ilvl="0" w:tplc="B0D21C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271"/>
    <w:rsid w:val="00073F40"/>
    <w:rsid w:val="000744B2"/>
    <w:rsid w:val="0008713A"/>
    <w:rsid w:val="000C12EB"/>
    <w:rsid w:val="000E7D83"/>
    <w:rsid w:val="000F192A"/>
    <w:rsid w:val="001036E7"/>
    <w:rsid w:val="0013468D"/>
    <w:rsid w:val="001404D0"/>
    <w:rsid w:val="00152750"/>
    <w:rsid w:val="001605BB"/>
    <w:rsid w:val="00166026"/>
    <w:rsid w:val="001708D2"/>
    <w:rsid w:val="00171B62"/>
    <w:rsid w:val="00183E5E"/>
    <w:rsid w:val="001B12B8"/>
    <w:rsid w:val="001F2383"/>
    <w:rsid w:val="0021016E"/>
    <w:rsid w:val="0023260C"/>
    <w:rsid w:val="00246AEC"/>
    <w:rsid w:val="00254499"/>
    <w:rsid w:val="00261DAB"/>
    <w:rsid w:val="002A68F9"/>
    <w:rsid w:val="002B5C8A"/>
    <w:rsid w:val="002C2FAC"/>
    <w:rsid w:val="002D65ED"/>
    <w:rsid w:val="002E0EB9"/>
    <w:rsid w:val="002F22E3"/>
    <w:rsid w:val="002F5446"/>
    <w:rsid w:val="0030497C"/>
    <w:rsid w:val="003206F8"/>
    <w:rsid w:val="00325979"/>
    <w:rsid w:val="003264F0"/>
    <w:rsid w:val="00350271"/>
    <w:rsid w:val="00353101"/>
    <w:rsid w:val="00372938"/>
    <w:rsid w:val="00384558"/>
    <w:rsid w:val="003A12EE"/>
    <w:rsid w:val="003A48B4"/>
    <w:rsid w:val="003F4CB8"/>
    <w:rsid w:val="004343FD"/>
    <w:rsid w:val="00447AB0"/>
    <w:rsid w:val="00466F66"/>
    <w:rsid w:val="00496BBD"/>
    <w:rsid w:val="004B0F97"/>
    <w:rsid w:val="004B4F62"/>
    <w:rsid w:val="004D0427"/>
    <w:rsid w:val="004D39B3"/>
    <w:rsid w:val="004E6C19"/>
    <w:rsid w:val="00532664"/>
    <w:rsid w:val="0055142F"/>
    <w:rsid w:val="005B56F9"/>
    <w:rsid w:val="005C4129"/>
    <w:rsid w:val="005F3881"/>
    <w:rsid w:val="006052E9"/>
    <w:rsid w:val="00611837"/>
    <w:rsid w:val="00634070"/>
    <w:rsid w:val="00674F84"/>
    <w:rsid w:val="0068426B"/>
    <w:rsid w:val="006921FB"/>
    <w:rsid w:val="006A70B0"/>
    <w:rsid w:val="006D502D"/>
    <w:rsid w:val="006E07B6"/>
    <w:rsid w:val="006F0E47"/>
    <w:rsid w:val="006F21A5"/>
    <w:rsid w:val="006F3062"/>
    <w:rsid w:val="007004F9"/>
    <w:rsid w:val="00716067"/>
    <w:rsid w:val="00766733"/>
    <w:rsid w:val="007910A3"/>
    <w:rsid w:val="00791A0D"/>
    <w:rsid w:val="007B08B2"/>
    <w:rsid w:val="007B2254"/>
    <w:rsid w:val="007F4F22"/>
    <w:rsid w:val="00816181"/>
    <w:rsid w:val="0082773F"/>
    <w:rsid w:val="00845FEA"/>
    <w:rsid w:val="008B605E"/>
    <w:rsid w:val="008D3F80"/>
    <w:rsid w:val="008D62D2"/>
    <w:rsid w:val="008E08CC"/>
    <w:rsid w:val="00901244"/>
    <w:rsid w:val="00951215"/>
    <w:rsid w:val="009657A5"/>
    <w:rsid w:val="00975848"/>
    <w:rsid w:val="009A545D"/>
    <w:rsid w:val="009C4EE0"/>
    <w:rsid w:val="009D1097"/>
    <w:rsid w:val="009D60AB"/>
    <w:rsid w:val="00A21639"/>
    <w:rsid w:val="00A24227"/>
    <w:rsid w:val="00A67D29"/>
    <w:rsid w:val="00A7427C"/>
    <w:rsid w:val="00A8492B"/>
    <w:rsid w:val="00AA3072"/>
    <w:rsid w:val="00AB2955"/>
    <w:rsid w:val="00AB6812"/>
    <w:rsid w:val="00AB777B"/>
    <w:rsid w:val="00AD492F"/>
    <w:rsid w:val="00AE1A70"/>
    <w:rsid w:val="00B12B99"/>
    <w:rsid w:val="00B16CF8"/>
    <w:rsid w:val="00B20FAF"/>
    <w:rsid w:val="00B23526"/>
    <w:rsid w:val="00B267A5"/>
    <w:rsid w:val="00B534D8"/>
    <w:rsid w:val="00B6502B"/>
    <w:rsid w:val="00B902B3"/>
    <w:rsid w:val="00BC074A"/>
    <w:rsid w:val="00BF3141"/>
    <w:rsid w:val="00C5137C"/>
    <w:rsid w:val="00C67B5B"/>
    <w:rsid w:val="00C86FB8"/>
    <w:rsid w:val="00C91668"/>
    <w:rsid w:val="00C92F51"/>
    <w:rsid w:val="00CC6939"/>
    <w:rsid w:val="00CD560A"/>
    <w:rsid w:val="00D2423E"/>
    <w:rsid w:val="00D67C37"/>
    <w:rsid w:val="00DA4A0C"/>
    <w:rsid w:val="00DA61D3"/>
    <w:rsid w:val="00DC34A6"/>
    <w:rsid w:val="00DE2254"/>
    <w:rsid w:val="00DF41DF"/>
    <w:rsid w:val="00E05B8C"/>
    <w:rsid w:val="00E07CCC"/>
    <w:rsid w:val="00E21FBF"/>
    <w:rsid w:val="00E22B33"/>
    <w:rsid w:val="00E8380B"/>
    <w:rsid w:val="00E83878"/>
    <w:rsid w:val="00ED09DF"/>
    <w:rsid w:val="00EF6419"/>
    <w:rsid w:val="00F12C71"/>
    <w:rsid w:val="00F35F9D"/>
    <w:rsid w:val="00F40B3C"/>
    <w:rsid w:val="00F646FF"/>
    <w:rsid w:val="00F973C1"/>
    <w:rsid w:val="00FB0820"/>
    <w:rsid w:val="00FB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F189A3"/>
  <w15:chartTrackingRefBased/>
  <w15:docId w15:val="{64F3E23F-1BD8-4BEB-B898-FE11816DB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2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314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183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4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4F0"/>
    <w:rPr>
      <w:rFonts w:ascii="Segoe UI" w:eastAsia="Times New Roman" w:hAnsi="Segoe UI" w:cs="Segoe UI"/>
      <w:sz w:val="18"/>
      <w:szCs w:val="18"/>
    </w:rPr>
  </w:style>
  <w:style w:type="character" w:customStyle="1" w:styleId="ui-provider">
    <w:name w:val="ui-provider"/>
    <w:basedOn w:val="DefaultParagraphFont"/>
    <w:rsid w:val="007F4F22"/>
  </w:style>
  <w:style w:type="paragraph" w:customStyle="1" w:styleId="LuncheonScript">
    <w:name w:val="Luncheon Script"/>
    <w:basedOn w:val="Normal"/>
    <w:link w:val="LuncheonScriptChar"/>
    <w:autoRedefine/>
    <w:qFormat/>
    <w:rsid w:val="00975848"/>
    <w:pPr>
      <w:widowControl w:val="0"/>
      <w:spacing w:line="300" w:lineRule="auto"/>
    </w:pPr>
    <w:rPr>
      <w:rFonts w:ascii="Cambria" w:hAnsi="Cambria"/>
      <w:snapToGrid w:val="0"/>
      <w:color w:val="000000" w:themeColor="text1"/>
      <w:w w:val="95"/>
      <w:sz w:val="36"/>
      <w:szCs w:val="36"/>
    </w:rPr>
  </w:style>
  <w:style w:type="character" w:customStyle="1" w:styleId="LuncheonScriptChar">
    <w:name w:val="Luncheon Script Char"/>
    <w:link w:val="LuncheonScript"/>
    <w:rsid w:val="00975848"/>
    <w:rPr>
      <w:rFonts w:ascii="Cambria" w:eastAsia="Times New Roman" w:hAnsi="Cambria" w:cs="Times New Roman"/>
      <w:snapToGrid w:val="0"/>
      <w:color w:val="000000" w:themeColor="text1"/>
      <w:w w:val="95"/>
      <w:sz w:val="36"/>
      <w:szCs w:val="36"/>
    </w:rPr>
  </w:style>
  <w:style w:type="paragraph" w:customStyle="1" w:styleId="Default">
    <w:name w:val="Default"/>
    <w:rsid w:val="009758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1100</Words>
  <Characters>6084</Characters>
  <Application>Microsoft Office Word</Application>
  <DocSecurity>0</DocSecurity>
  <Lines>156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Gleason</dc:creator>
  <cp:keywords/>
  <dc:description/>
  <cp:lastModifiedBy>Bill Gleason</cp:lastModifiedBy>
  <cp:revision>2</cp:revision>
  <cp:lastPrinted>2023-02-15T14:49:00Z</cp:lastPrinted>
  <dcterms:created xsi:type="dcterms:W3CDTF">2023-05-23T17:46:00Z</dcterms:created>
  <dcterms:modified xsi:type="dcterms:W3CDTF">2023-05-23T17:46:00Z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2022-04-10T20:29:09Z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03ed0ed6-63f8-40f7-a66f-cf9896801584</vt:lpwstr>
  </property>
  <property fmtid="{D5CDD505-2E9C-101B-9397-08002B2CF9AE}" pid="8" name="MSIP_Label_8af03ff0-41c5-4c41-b55e-fabb8fae94be_ContentBits">
    <vt:lpwstr>0</vt:lpwstr>
  </property>
</Properties>
</file>